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D4" w:rsidRDefault="003404D4" w:rsidP="003404D4">
      <w:pPr>
        <w:rPr>
          <w:b/>
          <w:bCs/>
          <w:lang w:bidi="tr-TR"/>
        </w:rPr>
      </w:pPr>
      <w:bookmarkStart w:id="0" w:name="_GoBack"/>
      <w:bookmarkEnd w:id="0"/>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0B22A5">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0B22A5">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0B22A5">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0B22A5">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0B22A5">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0B22A5">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0B22A5">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0B22A5">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0B22A5">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0B22A5">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1" w:name="_Toc110946480"/>
      <w:r w:rsidRPr="002D3C99">
        <w:rPr>
          <w:b/>
          <w:color w:val="FF0000"/>
        </w:rPr>
        <w:t>GİRİŞ</w:t>
      </w:r>
      <w:bookmarkEnd w:id="1"/>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2" w:name="bookmark3"/>
      <w:bookmarkStart w:id="3"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2"/>
      <w:bookmarkEnd w:id="3"/>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4"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4"/>
    </w:p>
    <w:p w:rsidR="00EC7E64" w:rsidRPr="002D3C99" w:rsidRDefault="00CF3573" w:rsidP="00564FB7">
      <w:pPr>
        <w:pStyle w:val="Balk2"/>
        <w:rPr>
          <w:b/>
          <w:color w:val="FF0000"/>
          <w:lang w:bidi="tr-TR"/>
        </w:rPr>
      </w:pPr>
      <w:bookmarkStart w:id="5"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5"/>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6"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6"/>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7" w:name="bookmark8"/>
      <w:bookmarkStart w:id="8" w:name="_Toc110946485"/>
      <w:r w:rsidRPr="00821C34">
        <w:rPr>
          <w:b/>
          <w:color w:val="FF0000"/>
          <w:lang w:bidi="tr-TR"/>
        </w:rPr>
        <w:t>KORUNMA VE KONTROL ÖNLEMLERİ</w:t>
      </w:r>
      <w:bookmarkEnd w:id="7"/>
      <w:bookmarkEnd w:id="8"/>
    </w:p>
    <w:p w:rsidR="00A25B6E" w:rsidRPr="00821C34" w:rsidRDefault="00A25B6E" w:rsidP="00FF3EAF">
      <w:pPr>
        <w:pStyle w:val="Balk2"/>
        <w:numPr>
          <w:ilvl w:val="1"/>
          <w:numId w:val="1"/>
        </w:numPr>
        <w:ind w:left="567" w:hanging="567"/>
        <w:rPr>
          <w:b/>
          <w:color w:val="FF0000"/>
          <w:lang w:bidi="tr-TR"/>
        </w:rPr>
      </w:pPr>
      <w:bookmarkStart w:id="9" w:name="bookmark9"/>
      <w:bookmarkStart w:id="10" w:name="_Toc110946486"/>
      <w:r w:rsidRPr="002D3C99">
        <w:rPr>
          <w:b/>
          <w:color w:val="FF0000"/>
          <w:lang w:bidi="tr-TR"/>
        </w:rPr>
        <w:t>Hazırlık</w:t>
      </w:r>
      <w:bookmarkEnd w:id="9"/>
      <w:bookmarkEnd w:id="10"/>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r w:rsidRPr="00A25B6E">
        <w:rPr>
          <w:lang w:bidi="tr-TR"/>
        </w:rPr>
        <w:lastRenderedPageBreak/>
        <w:t xml:space="preserve">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1" w:name="bookmark10"/>
      <w:bookmarkStart w:id="12" w:name="_Toc110946487"/>
      <w:r w:rsidRPr="00821C34">
        <w:rPr>
          <w:b/>
          <w:bCs/>
          <w:color w:val="FF0000"/>
          <w:lang w:bidi="tr-TR"/>
        </w:rPr>
        <w:t xml:space="preserve">Standart Enfeksiyon Kontrol Önlemleri </w:t>
      </w:r>
      <w:r w:rsidR="00E55C42" w:rsidRPr="00821C34">
        <w:rPr>
          <w:b/>
          <w:bCs/>
          <w:color w:val="FF0000"/>
          <w:lang w:bidi="tr-TR"/>
        </w:rPr>
        <w:t>(SEKÖ)</w:t>
      </w:r>
      <w:bookmarkEnd w:id="11"/>
      <w:bookmarkEnd w:id="12"/>
      <w:r w:rsidR="005B376F">
        <w:rPr>
          <w:b/>
          <w:bCs/>
          <w:color w:val="FF0000"/>
          <w:lang w:bidi="tr-TR"/>
        </w:rPr>
        <w:t xml:space="preserve"> </w:t>
      </w:r>
      <w:bookmarkStart w:id="13"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3"/>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4" w:name="bookmark12"/>
      <w:bookmarkStart w:id="15"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4"/>
      <w:bookmarkEnd w:id="15"/>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6" w:name="bookmark13"/>
    </w:p>
    <w:p w:rsidR="00A865C4" w:rsidRPr="00821C34" w:rsidRDefault="00A865C4" w:rsidP="00FF3EAF">
      <w:pPr>
        <w:pStyle w:val="Balk2"/>
        <w:numPr>
          <w:ilvl w:val="1"/>
          <w:numId w:val="1"/>
        </w:numPr>
        <w:ind w:left="567" w:hanging="567"/>
        <w:rPr>
          <w:b/>
          <w:bCs/>
          <w:color w:val="FF0000"/>
          <w:lang w:bidi="tr-TR"/>
        </w:rPr>
      </w:pPr>
      <w:bookmarkStart w:id="17"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6"/>
      <w:bookmarkEnd w:id="17"/>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8" w:name="_Toc110946490"/>
      <w:r w:rsidRPr="00073B9D">
        <w:rPr>
          <w:b/>
          <w:bCs/>
          <w:color w:val="FF0000"/>
          <w:lang w:bidi="tr-TR"/>
        </w:rPr>
        <w:t>Yükleniciler, Dış Servis/Hizmet Sunucuları, Ürün ve Hizmet Tedarikçileri</w:t>
      </w:r>
      <w:bookmarkEnd w:id="18"/>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9" w:name="_Toc110946491"/>
      <w:r w:rsidRPr="00073B9D">
        <w:rPr>
          <w:b/>
          <w:color w:val="FF0000"/>
          <w:lang w:bidi="tr-TR"/>
        </w:rPr>
        <w:t>UYGULAMAYA YÖNELİK ÖNLEMLER</w:t>
      </w:r>
      <w:bookmarkStart w:id="20" w:name="bookmark21"/>
      <w:bookmarkEnd w:id="19"/>
    </w:p>
    <w:p w:rsidR="00A72DAB" w:rsidRPr="00073B9D" w:rsidRDefault="00A72DAB" w:rsidP="00FF3EAF">
      <w:pPr>
        <w:pStyle w:val="Balk2"/>
        <w:numPr>
          <w:ilvl w:val="1"/>
          <w:numId w:val="1"/>
        </w:numPr>
        <w:ind w:left="567" w:hanging="567"/>
        <w:rPr>
          <w:b/>
          <w:color w:val="FF0000"/>
          <w:lang w:bidi="tr-TR"/>
        </w:rPr>
      </w:pPr>
      <w:bookmarkStart w:id="21" w:name="_Toc110946492"/>
      <w:r w:rsidRPr="00073B9D">
        <w:rPr>
          <w:b/>
          <w:bCs/>
          <w:color w:val="FF0000"/>
          <w:lang w:bidi="tr-TR"/>
        </w:rPr>
        <w:t>El Hijyeni</w:t>
      </w:r>
      <w:bookmarkEnd w:id="20"/>
      <w:bookmarkEnd w:id="21"/>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lastRenderedPageBreak/>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2"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3" w:name="bookmark25"/>
      <w:bookmarkEnd w:id="22"/>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3"/>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4"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4"/>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5"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5"/>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6" w:name="_Toc110946494"/>
      <w:r w:rsidRPr="00E122F6">
        <w:rPr>
          <w:b/>
          <w:color w:val="FF0000"/>
          <w:lang w:bidi="tr-TR"/>
        </w:rPr>
        <w:t>Öğretmenler Odası</w:t>
      </w:r>
      <w:bookmarkEnd w:id="26"/>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7"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7"/>
    </w:p>
    <w:p w:rsidR="00DF0069" w:rsidRPr="00ED72A7" w:rsidRDefault="000920C2" w:rsidP="00DF0069">
      <w:pPr>
        <w:spacing w:after="0"/>
        <w:jc w:val="both"/>
        <w:rPr>
          <w:lang w:bidi="tr-TR"/>
        </w:rPr>
      </w:pPr>
      <w:bookmarkStart w:id="28"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8"/>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9" w:name="bookmark29"/>
      <w:bookmarkStart w:id="30" w:name="_Toc110946496"/>
      <w:r w:rsidRPr="00E122F6">
        <w:rPr>
          <w:b/>
          <w:color w:val="FF0000"/>
          <w:lang w:bidi="tr-TR"/>
        </w:rPr>
        <w:t>Toplantı/Konferans Salonları</w:t>
      </w:r>
      <w:bookmarkEnd w:id="29"/>
      <w:r w:rsidRPr="00E122F6">
        <w:rPr>
          <w:b/>
          <w:color w:val="FF0000"/>
          <w:lang w:bidi="tr-TR"/>
        </w:rPr>
        <w:t>/Çok Amaçlı Salonlar</w:t>
      </w:r>
      <w:bookmarkEnd w:id="30"/>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1" w:name="bookmark26"/>
      <w:bookmarkStart w:id="32" w:name="_Toc110946497"/>
      <w:r w:rsidRPr="00E122F6">
        <w:rPr>
          <w:b/>
          <w:bCs/>
          <w:color w:val="FF0000"/>
          <w:lang w:bidi="tr-TR"/>
        </w:rPr>
        <w:t>Kantin, Yemekhane</w:t>
      </w:r>
      <w:bookmarkEnd w:id="31"/>
      <w:bookmarkEnd w:id="32"/>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3" w:name="_Toc110946498"/>
      <w:r w:rsidRPr="00E122F6">
        <w:rPr>
          <w:b/>
          <w:color w:val="FF0000"/>
          <w:lang w:bidi="tr-TR"/>
        </w:rPr>
        <w:t>Gıda Depoları:</w:t>
      </w:r>
      <w:bookmarkEnd w:id="33"/>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4" w:name="_Toc110946499"/>
      <w:r w:rsidRPr="00F12E07">
        <w:rPr>
          <w:b/>
          <w:bCs/>
          <w:color w:val="FF0000"/>
          <w:lang w:bidi="tr-TR"/>
        </w:rPr>
        <w:t>Tuvalet ve Lavabolar</w:t>
      </w:r>
      <w:bookmarkEnd w:id="34"/>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Balk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5" w:name="_Toc110946506"/>
      <w:r w:rsidRPr="00462650">
        <w:rPr>
          <w:b/>
          <w:bCs/>
          <w:color w:val="FF0000"/>
          <w:lang w:bidi="tr-TR"/>
        </w:rPr>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hijyen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2" w:name="_Toc110946511"/>
      <w:r w:rsidRPr="00E374AF">
        <w:rPr>
          <w:b/>
          <w:bCs/>
          <w:color w:val="FF0000"/>
          <w:lang w:bidi="tr-TR"/>
        </w:rPr>
        <w:lastRenderedPageBreak/>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Balk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Balk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lastRenderedPageBreak/>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w:t>
      </w:r>
      <w:r w:rsidRPr="00C229A4">
        <w:rPr>
          <w:lang w:bidi="tr-TR"/>
        </w:rPr>
        <w:lastRenderedPageBreak/>
        <w:t xml:space="preserve">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lastRenderedPageBreak/>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A5" w:rsidRDefault="000B22A5" w:rsidP="00947BFB">
      <w:pPr>
        <w:spacing w:after="0" w:line="240" w:lineRule="auto"/>
      </w:pPr>
      <w:r>
        <w:separator/>
      </w:r>
    </w:p>
  </w:endnote>
  <w:endnote w:type="continuationSeparator" w:id="0">
    <w:p w:rsidR="000B22A5" w:rsidRDefault="000B22A5"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AD1639">
          <w:rPr>
            <w:noProof/>
          </w:rPr>
          <w:t>3</w:t>
        </w:r>
        <w:r>
          <w:fldChar w:fldCharType="end"/>
        </w:r>
      </w:p>
    </w:sdtContent>
  </w:sdt>
  <w:p w:rsidR="00732576" w:rsidRDefault="007325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76" w:rsidRDefault="00732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AD1639">
          <w:rPr>
            <w:noProof/>
          </w:rPr>
          <w:t>29</w:t>
        </w:r>
        <w:r>
          <w:fldChar w:fldCharType="end"/>
        </w:r>
      </w:p>
    </w:sdtContent>
  </w:sdt>
  <w:p w:rsidR="00732576" w:rsidRDefault="00732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A5" w:rsidRDefault="000B22A5" w:rsidP="00947BFB">
      <w:pPr>
        <w:spacing w:after="0" w:line="240" w:lineRule="auto"/>
      </w:pPr>
      <w:r>
        <w:separator/>
      </w:r>
    </w:p>
  </w:footnote>
  <w:footnote w:type="continuationSeparator" w:id="0">
    <w:p w:rsidR="000B22A5" w:rsidRDefault="000B22A5" w:rsidP="0094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22A5"/>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1639"/>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7018-4677-4AE3-9E43-F2789904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Ismail KUCUKCOBAN</cp:lastModifiedBy>
  <cp:revision>3</cp:revision>
  <dcterms:created xsi:type="dcterms:W3CDTF">2023-07-19T09:14:00Z</dcterms:created>
  <dcterms:modified xsi:type="dcterms:W3CDTF">2023-07-19T09:14:00Z</dcterms:modified>
</cp:coreProperties>
</file>